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D4" w:rsidRDefault="006C07D4" w:rsidP="006C07D4"/>
    <w:p w:rsidR="006C07D4" w:rsidRDefault="006C07D4" w:rsidP="006C07D4"/>
    <w:p w:rsidR="006C07D4" w:rsidRDefault="006C07D4" w:rsidP="006C07D4"/>
    <w:p w:rsidR="006C07D4" w:rsidRDefault="006C07D4" w:rsidP="006C07D4"/>
    <w:p w:rsidR="006C07D4" w:rsidRDefault="006C07D4" w:rsidP="006C07D4">
      <w:r>
        <w:rPr>
          <w:noProof/>
          <w:color w:val="833C0B" w:themeColor="accent2" w:themeShade="80"/>
          <w:lang w:val="es-MX" w:eastAsia="es-MX"/>
        </w:rPr>
        <w:drawing>
          <wp:anchor distT="0" distB="0" distL="114300" distR="114300" simplePos="0" relativeHeight="251659264" behindDoc="1" locked="0" layoutInCell="1" allowOverlap="1" wp14:anchorId="7B458359" wp14:editId="34CCDD5A">
            <wp:simplePos x="0" y="0"/>
            <wp:positionH relativeFrom="margin">
              <wp:align>center</wp:align>
            </wp:positionH>
            <wp:positionV relativeFrom="paragraph">
              <wp:posOffset>230751</wp:posOffset>
            </wp:positionV>
            <wp:extent cx="5991166" cy="5995359"/>
            <wp:effectExtent l="0" t="0" r="0" b="5715"/>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6">
                      <a:extLst>
                        <a:ext uri="{28A0092B-C50C-407E-A947-70E740481C1C}">
                          <a14:useLocalDpi xmlns:a14="http://schemas.microsoft.com/office/drawing/2010/main" val="0"/>
                        </a:ext>
                      </a:extLst>
                    </a:blip>
                    <a:stretch>
                      <a:fillRect/>
                    </a:stretch>
                  </pic:blipFill>
                  <pic:spPr>
                    <a:xfrm>
                      <a:off x="0" y="0"/>
                      <a:ext cx="5991166" cy="5995359"/>
                    </a:xfrm>
                    <a:prstGeom prst="rect">
                      <a:avLst/>
                    </a:prstGeom>
                  </pic:spPr>
                </pic:pic>
              </a:graphicData>
            </a:graphic>
            <wp14:sizeRelH relativeFrom="margin">
              <wp14:pctWidth>0</wp14:pctWidth>
            </wp14:sizeRelH>
            <wp14:sizeRelV relativeFrom="margin">
              <wp14:pctHeight>0</wp14:pctHeight>
            </wp14:sizeRelV>
          </wp:anchor>
        </w:drawing>
      </w:r>
    </w:p>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BA586C" w:rsidRPr="007A728E" w:rsidRDefault="00BA586C" w:rsidP="00BA586C">
      <w:pPr>
        <w:autoSpaceDE w:val="0"/>
        <w:autoSpaceDN w:val="0"/>
        <w:adjustRightInd w:val="0"/>
        <w:spacing w:after="0" w:line="240" w:lineRule="auto"/>
        <w:jc w:val="left"/>
        <w:rPr>
          <w:b/>
          <w:bCs/>
          <w:color w:val="000000" w:themeColor="text1"/>
          <w:sz w:val="28"/>
          <w:szCs w:val="28"/>
        </w:rPr>
      </w:pPr>
      <w:r w:rsidRPr="007A728E">
        <w:rPr>
          <w:b/>
          <w:bCs/>
          <w:color w:val="000000" w:themeColor="text1"/>
          <w:sz w:val="28"/>
          <w:szCs w:val="28"/>
        </w:rPr>
        <w:lastRenderedPageBreak/>
        <w:t>ESTADO DE MICHOCÁN DE OCAMPO</w:t>
      </w:r>
    </w:p>
    <w:p w:rsidR="00BA586C" w:rsidRPr="007A728E" w:rsidRDefault="00BA586C" w:rsidP="00BA586C">
      <w:pPr>
        <w:autoSpaceDE w:val="0"/>
        <w:autoSpaceDN w:val="0"/>
        <w:adjustRightInd w:val="0"/>
        <w:spacing w:after="0" w:line="240" w:lineRule="auto"/>
        <w:jc w:val="left"/>
        <w:rPr>
          <w:b/>
          <w:bCs/>
          <w:color w:val="000000" w:themeColor="text1"/>
          <w:sz w:val="28"/>
          <w:szCs w:val="28"/>
        </w:rPr>
      </w:pPr>
      <w:r w:rsidRPr="007A728E">
        <w:rPr>
          <w:b/>
          <w:bCs/>
          <w:color w:val="000000" w:themeColor="text1"/>
          <w:sz w:val="28"/>
          <w:szCs w:val="28"/>
        </w:rPr>
        <w:t>CUENTA PÚBLICA 202</w:t>
      </w:r>
      <w:r>
        <w:rPr>
          <w:b/>
          <w:bCs/>
          <w:color w:val="000000" w:themeColor="text1"/>
          <w:sz w:val="28"/>
          <w:szCs w:val="28"/>
        </w:rPr>
        <w:t>4</w:t>
      </w:r>
    </w:p>
    <w:p w:rsidR="00BA586C" w:rsidRPr="007A728E" w:rsidRDefault="00BA586C" w:rsidP="00BA586C">
      <w:pPr>
        <w:autoSpaceDE w:val="0"/>
        <w:autoSpaceDN w:val="0"/>
        <w:adjustRightInd w:val="0"/>
        <w:spacing w:after="0" w:line="240" w:lineRule="auto"/>
        <w:jc w:val="left"/>
        <w:rPr>
          <w:b/>
          <w:color w:val="000000" w:themeColor="text1"/>
          <w:sz w:val="28"/>
          <w:szCs w:val="28"/>
        </w:rPr>
      </w:pPr>
    </w:p>
    <w:p w:rsidR="00BA586C" w:rsidRPr="007A728E" w:rsidRDefault="00BA586C" w:rsidP="00BA586C">
      <w:pPr>
        <w:autoSpaceDE w:val="0"/>
        <w:autoSpaceDN w:val="0"/>
        <w:adjustRightInd w:val="0"/>
        <w:spacing w:after="0" w:line="240" w:lineRule="auto"/>
        <w:jc w:val="left"/>
        <w:rPr>
          <w:b/>
          <w:bCs/>
          <w:color w:val="000000" w:themeColor="text1"/>
          <w:sz w:val="28"/>
          <w:szCs w:val="28"/>
        </w:rPr>
      </w:pPr>
      <w:r w:rsidRPr="007A728E">
        <w:rPr>
          <w:b/>
          <w:bCs/>
          <w:color w:val="000000" w:themeColor="text1"/>
          <w:sz w:val="28"/>
          <w:szCs w:val="28"/>
        </w:rPr>
        <w:t>CONSOLIDACIÓN DE ESTADOS FINANCIEROS DE LAS ENTIDADES PARATESTATALES</w:t>
      </w:r>
    </w:p>
    <w:p w:rsidR="00BA586C" w:rsidRPr="007A728E" w:rsidRDefault="00BA586C" w:rsidP="00BA586C">
      <w:pPr>
        <w:autoSpaceDE w:val="0"/>
        <w:autoSpaceDN w:val="0"/>
        <w:adjustRightInd w:val="0"/>
        <w:spacing w:after="0" w:line="240" w:lineRule="auto"/>
        <w:jc w:val="left"/>
        <w:rPr>
          <w:color w:val="000000" w:themeColor="text1"/>
          <w:sz w:val="28"/>
          <w:szCs w:val="28"/>
        </w:rPr>
      </w:pPr>
    </w:p>
    <w:p w:rsidR="00BA586C" w:rsidRPr="007A728E" w:rsidRDefault="00BA586C" w:rsidP="00BA586C">
      <w:pPr>
        <w:autoSpaceDE w:val="0"/>
        <w:autoSpaceDN w:val="0"/>
        <w:adjustRightInd w:val="0"/>
        <w:spacing w:after="0" w:line="240" w:lineRule="auto"/>
        <w:jc w:val="left"/>
        <w:rPr>
          <w:color w:val="000000" w:themeColor="text1"/>
          <w:sz w:val="28"/>
          <w:szCs w:val="28"/>
        </w:rPr>
      </w:pPr>
    </w:p>
    <w:p w:rsidR="00BA586C" w:rsidRPr="007A728E" w:rsidRDefault="00BA586C" w:rsidP="00BA586C">
      <w:pPr>
        <w:autoSpaceDE w:val="0"/>
        <w:autoSpaceDN w:val="0"/>
        <w:adjustRightInd w:val="0"/>
        <w:jc w:val="left"/>
        <w:rPr>
          <w:b/>
          <w:color w:val="000000" w:themeColor="text1"/>
          <w:sz w:val="28"/>
          <w:szCs w:val="28"/>
        </w:rPr>
      </w:pPr>
      <w:r w:rsidRPr="007A728E">
        <w:rPr>
          <w:b/>
          <w:bCs/>
          <w:color w:val="000000" w:themeColor="text1"/>
          <w:sz w:val="28"/>
          <w:szCs w:val="28"/>
        </w:rPr>
        <w:t>Notas a los Estados Financieros de la Entidad Federativa</w:t>
      </w:r>
      <w:r w:rsidRPr="007A728E">
        <w:rPr>
          <w:b/>
          <w:color w:val="000000" w:themeColor="text1"/>
          <w:sz w:val="28"/>
          <w:szCs w:val="28"/>
        </w:rPr>
        <w:t>.</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Pr>
          <w:color w:val="000000" w:themeColor="text1"/>
          <w:sz w:val="28"/>
          <w:szCs w:val="28"/>
        </w:rPr>
        <w:t>3</w:t>
      </w:r>
      <w:r w:rsidRPr="007A728E">
        <w:rPr>
          <w:color w:val="000000" w:themeColor="text1"/>
          <w:sz w:val="28"/>
          <w:szCs w:val="28"/>
        </w:rPr>
        <w:t>, con los siguientes apartados:</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 Notas de Gestión Administrativa</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 Notas de Desglose</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 Notas de Memoria</w:t>
      </w:r>
    </w:p>
    <w:p w:rsidR="00BA586C" w:rsidRPr="007A728E" w:rsidRDefault="00BA586C" w:rsidP="00BA586C">
      <w:pPr>
        <w:autoSpaceDE w:val="0"/>
        <w:autoSpaceDN w:val="0"/>
        <w:adjustRightInd w:val="0"/>
        <w:jc w:val="left"/>
        <w:rPr>
          <w:bCs/>
          <w:color w:val="000000" w:themeColor="text1"/>
          <w:sz w:val="28"/>
          <w:szCs w:val="28"/>
        </w:rPr>
      </w:pPr>
    </w:p>
    <w:p w:rsidR="00BA586C" w:rsidRPr="007A728E" w:rsidRDefault="00BA586C" w:rsidP="00BA586C">
      <w:pPr>
        <w:autoSpaceDE w:val="0"/>
        <w:autoSpaceDN w:val="0"/>
        <w:adjustRightInd w:val="0"/>
        <w:jc w:val="left"/>
        <w:rPr>
          <w:b/>
          <w:bCs/>
          <w:color w:val="000000" w:themeColor="text1"/>
          <w:sz w:val="28"/>
          <w:szCs w:val="28"/>
        </w:rPr>
      </w:pPr>
      <w:r w:rsidRPr="007A728E">
        <w:rPr>
          <w:b/>
          <w:bCs/>
          <w:color w:val="000000" w:themeColor="text1"/>
          <w:sz w:val="28"/>
          <w:szCs w:val="28"/>
        </w:rPr>
        <w:t>Notas de Gestión Administrativa</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Las notas de gestión administrativa de la Entidad Federativa son producto de las notas de cada ente público que lo conforma, mismas que pueden ser consultadas en el respectivo apartado de cada uno de ellos.</w:t>
      </w:r>
    </w:p>
    <w:p w:rsidR="00BA586C" w:rsidRDefault="00BA586C" w:rsidP="00BA586C">
      <w:pPr>
        <w:autoSpaceDE w:val="0"/>
        <w:autoSpaceDN w:val="0"/>
        <w:adjustRightInd w:val="0"/>
        <w:jc w:val="left"/>
        <w:rPr>
          <w:b/>
          <w:bCs/>
          <w:color w:val="000000" w:themeColor="text1"/>
          <w:sz w:val="28"/>
          <w:szCs w:val="28"/>
        </w:rPr>
      </w:pPr>
    </w:p>
    <w:p w:rsidR="00BA586C" w:rsidRPr="007A728E" w:rsidRDefault="00BA586C" w:rsidP="00BA586C">
      <w:pPr>
        <w:autoSpaceDE w:val="0"/>
        <w:autoSpaceDN w:val="0"/>
        <w:adjustRightInd w:val="0"/>
        <w:jc w:val="left"/>
        <w:rPr>
          <w:b/>
          <w:bCs/>
          <w:color w:val="000000" w:themeColor="text1"/>
          <w:sz w:val="28"/>
          <w:szCs w:val="28"/>
        </w:rPr>
      </w:pPr>
      <w:r w:rsidRPr="007A728E">
        <w:rPr>
          <w:b/>
          <w:bCs/>
          <w:color w:val="000000" w:themeColor="text1"/>
          <w:sz w:val="28"/>
          <w:szCs w:val="28"/>
        </w:rPr>
        <w:t>Notas de Desglose</w:t>
      </w:r>
    </w:p>
    <w:p w:rsidR="00BA586C" w:rsidRDefault="00BA586C" w:rsidP="00BA586C">
      <w:pPr>
        <w:autoSpaceDE w:val="0"/>
        <w:autoSpaceDN w:val="0"/>
        <w:adjustRightInd w:val="0"/>
        <w:rPr>
          <w:color w:val="000000" w:themeColor="text1"/>
          <w:sz w:val="28"/>
          <w:szCs w:val="28"/>
        </w:rPr>
      </w:pPr>
    </w:p>
    <w:p w:rsidR="00BA586C" w:rsidRDefault="00BA586C" w:rsidP="00BA586C">
      <w:pPr>
        <w:autoSpaceDE w:val="0"/>
        <w:autoSpaceDN w:val="0"/>
        <w:adjustRightInd w:val="0"/>
        <w:rPr>
          <w:color w:val="000000" w:themeColor="text1"/>
          <w:sz w:val="28"/>
          <w:szCs w:val="28"/>
        </w:rPr>
      </w:pPr>
      <w:r w:rsidRPr="0096428F">
        <w:rPr>
          <w:b/>
          <w:color w:val="000000" w:themeColor="text1"/>
          <w:sz w:val="28"/>
          <w:szCs w:val="28"/>
        </w:rPr>
        <w:lastRenderedPageBreak/>
        <w:t>NOTAS AL ESTADO DE SITUACIÓN FINANCIERA</w:t>
      </w:r>
    </w:p>
    <w:p w:rsidR="00BA586C" w:rsidRPr="007A728E" w:rsidRDefault="00BA586C" w:rsidP="00BA586C">
      <w:pPr>
        <w:autoSpaceDE w:val="0"/>
        <w:autoSpaceDN w:val="0"/>
        <w:adjustRightInd w:val="0"/>
        <w:rPr>
          <w:b/>
          <w:bCs/>
          <w:color w:val="000000" w:themeColor="text1"/>
          <w:sz w:val="28"/>
          <w:szCs w:val="28"/>
        </w:rPr>
      </w:pPr>
    </w:p>
    <w:p w:rsidR="00BA586C" w:rsidRPr="007A728E" w:rsidRDefault="00BA586C" w:rsidP="00BA586C">
      <w:pPr>
        <w:autoSpaceDE w:val="0"/>
        <w:autoSpaceDN w:val="0"/>
        <w:adjustRightInd w:val="0"/>
        <w:ind w:firstLine="708"/>
        <w:rPr>
          <w:b/>
          <w:bCs/>
          <w:color w:val="000000" w:themeColor="text1"/>
          <w:sz w:val="28"/>
          <w:szCs w:val="28"/>
        </w:rPr>
      </w:pPr>
      <w:r w:rsidRPr="007A728E">
        <w:rPr>
          <w:b/>
          <w:bCs/>
          <w:color w:val="000000" w:themeColor="text1"/>
          <w:sz w:val="28"/>
          <w:szCs w:val="28"/>
        </w:rPr>
        <w:t>ACTIVO</w:t>
      </w:r>
    </w:p>
    <w:p w:rsidR="00BA586C" w:rsidRPr="007A728E" w:rsidRDefault="00BA586C" w:rsidP="00BA586C">
      <w:pPr>
        <w:autoSpaceDE w:val="0"/>
        <w:autoSpaceDN w:val="0"/>
        <w:adjustRightInd w:val="0"/>
        <w:ind w:firstLine="708"/>
        <w:rPr>
          <w:b/>
          <w:bCs/>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 xml:space="preserve">• </w:t>
      </w:r>
      <w:r w:rsidRPr="007A728E">
        <w:rPr>
          <w:b/>
          <w:color w:val="000000" w:themeColor="text1"/>
          <w:sz w:val="28"/>
          <w:szCs w:val="28"/>
        </w:rPr>
        <w:t>Efectivo y Equivalentes</w:t>
      </w:r>
    </w:p>
    <w:p w:rsidR="00BA586C" w:rsidRDefault="00BA586C" w:rsidP="00BA586C">
      <w:pPr>
        <w:autoSpaceDE w:val="0"/>
        <w:autoSpaceDN w:val="0"/>
        <w:adjustRightInd w:val="0"/>
        <w:rPr>
          <w:color w:val="000000" w:themeColor="text1"/>
          <w:sz w:val="28"/>
          <w:szCs w:val="28"/>
        </w:rPr>
      </w:pPr>
      <w:r w:rsidRPr="007A728E">
        <w:rPr>
          <w:color w:val="000000" w:themeColor="text1"/>
          <w:sz w:val="28"/>
          <w:szCs w:val="28"/>
        </w:rPr>
        <w:t>En este apartado se integran los recursos monetarios que manejan la Entidad Federativa, en cuentas bancarias en moneda nacional, aquellos que están en las Entidades Paraestatales. A continuación, se presenta la integración de este rubro:</w:t>
      </w:r>
    </w:p>
    <w:p w:rsidR="00BA586C" w:rsidRPr="007A728E" w:rsidRDefault="00BA586C" w:rsidP="00BA586C">
      <w:pPr>
        <w:autoSpaceDE w:val="0"/>
        <w:autoSpaceDN w:val="0"/>
        <w:adjustRightInd w:val="0"/>
        <w:rPr>
          <w:color w:val="000000" w:themeColor="text1"/>
          <w:sz w:val="28"/>
          <w:szCs w:val="28"/>
        </w:rPr>
      </w:pPr>
      <w:r w:rsidRPr="006669B9">
        <w:rPr>
          <w:noProof/>
          <w:lang w:val="es-MX" w:eastAsia="es-MX"/>
        </w:rPr>
        <w:lastRenderedPageBreak/>
        <w:drawing>
          <wp:inline distT="0" distB="0" distL="0" distR="0" wp14:anchorId="3B7E8409" wp14:editId="7F9C2754">
            <wp:extent cx="6038850" cy="81248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046" cy="8166797"/>
                    </a:xfrm>
                    <a:prstGeom prst="rect">
                      <a:avLst/>
                    </a:prstGeom>
                    <a:noFill/>
                    <a:ln>
                      <a:noFill/>
                    </a:ln>
                  </pic:spPr>
                </pic:pic>
              </a:graphicData>
            </a:graphic>
          </wp:inline>
        </w:drawing>
      </w:r>
    </w:p>
    <w:p w:rsidR="00BA586C" w:rsidRDefault="00BA586C" w:rsidP="00BA586C">
      <w:pPr>
        <w:autoSpaceDE w:val="0"/>
        <w:autoSpaceDN w:val="0"/>
        <w:adjustRightInd w:val="0"/>
        <w:jc w:val="center"/>
      </w:pPr>
      <w:r w:rsidRPr="006669B9">
        <w:rPr>
          <w:noProof/>
          <w:lang w:val="es-MX" w:eastAsia="es-MX"/>
        </w:rPr>
        <w:lastRenderedPageBreak/>
        <w:drawing>
          <wp:inline distT="0" distB="0" distL="0" distR="0" wp14:anchorId="249DCE75" wp14:editId="55062B9B">
            <wp:extent cx="6305377" cy="809625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1600" cy="8155602"/>
                    </a:xfrm>
                    <a:prstGeom prst="rect">
                      <a:avLst/>
                    </a:prstGeom>
                    <a:noFill/>
                    <a:ln>
                      <a:noFill/>
                    </a:ln>
                  </pic:spPr>
                </pic:pic>
              </a:graphicData>
            </a:graphic>
          </wp:inline>
        </w:drawing>
      </w:r>
    </w:p>
    <w:p w:rsidR="00BA586C" w:rsidRPr="007A728E" w:rsidRDefault="00BA586C" w:rsidP="00BA586C">
      <w:pPr>
        <w:autoSpaceDE w:val="0"/>
        <w:autoSpaceDN w:val="0"/>
        <w:adjustRightInd w:val="0"/>
        <w:rPr>
          <w:color w:val="000000" w:themeColor="text1"/>
          <w:sz w:val="28"/>
          <w:szCs w:val="28"/>
        </w:rPr>
      </w:pPr>
      <w:r>
        <w:rPr>
          <w:color w:val="000000" w:themeColor="text1"/>
        </w:rPr>
        <w:lastRenderedPageBreak/>
        <w:t xml:space="preserve">• </w:t>
      </w:r>
      <w:r w:rsidRPr="007A728E">
        <w:rPr>
          <w:b/>
          <w:color w:val="000000" w:themeColor="text1"/>
          <w:sz w:val="28"/>
          <w:szCs w:val="28"/>
        </w:rPr>
        <w:t>Derechos a recibir Efectivo o Equivalentes</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Corresponde integrar en este rubro los saldos que representan cuentas por cobrar y deudores diversos por cobrar a corto plazo, deudores por anticipos de la Tesorería a corto plazo, préstamos otorgados a corto plazo, otros derechos a recibir efectivo o equivalentes a corto plazo. A continuación, se presenta la integración de este rubro:</w:t>
      </w:r>
    </w:p>
    <w:p w:rsidR="00BA586C" w:rsidRDefault="00BA586C" w:rsidP="00BA586C">
      <w:pPr>
        <w:autoSpaceDE w:val="0"/>
        <w:autoSpaceDN w:val="0"/>
        <w:adjustRightInd w:val="0"/>
        <w:rPr>
          <w:color w:val="000000" w:themeColor="text1"/>
        </w:rPr>
      </w:pPr>
      <w:r w:rsidRPr="006669B9">
        <w:rPr>
          <w:noProof/>
          <w:lang w:val="es-MX" w:eastAsia="es-MX"/>
        </w:rPr>
        <w:lastRenderedPageBreak/>
        <w:drawing>
          <wp:inline distT="0" distB="0" distL="0" distR="0" wp14:anchorId="68C3AFA0" wp14:editId="3635708E">
            <wp:extent cx="6334125" cy="8105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430" cy="8116403"/>
                    </a:xfrm>
                    <a:prstGeom prst="rect">
                      <a:avLst/>
                    </a:prstGeom>
                    <a:noFill/>
                    <a:ln>
                      <a:noFill/>
                    </a:ln>
                  </pic:spPr>
                </pic:pic>
              </a:graphicData>
            </a:graphic>
          </wp:inline>
        </w:drawing>
      </w:r>
    </w:p>
    <w:p w:rsidR="00BA586C" w:rsidRPr="006669B9" w:rsidRDefault="00BA586C" w:rsidP="00BA586C">
      <w:pPr>
        <w:autoSpaceDE w:val="0"/>
        <w:autoSpaceDN w:val="0"/>
        <w:adjustRightInd w:val="0"/>
        <w:rPr>
          <w:color w:val="000000" w:themeColor="text1"/>
        </w:rPr>
      </w:pPr>
      <w:r w:rsidRPr="006669B9">
        <w:rPr>
          <w:noProof/>
          <w:lang w:val="es-MX" w:eastAsia="es-MX"/>
        </w:rPr>
        <w:lastRenderedPageBreak/>
        <w:drawing>
          <wp:inline distT="0" distB="0" distL="0" distR="0" wp14:anchorId="3B2BD2D9" wp14:editId="1B44B1D1">
            <wp:extent cx="6296025" cy="81438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1891" cy="8177333"/>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p>
    <w:p w:rsidR="00BA586C" w:rsidRPr="007A728E" w:rsidRDefault="00BA586C" w:rsidP="00BA586C">
      <w:pPr>
        <w:autoSpaceDE w:val="0"/>
        <w:autoSpaceDN w:val="0"/>
        <w:adjustRightInd w:val="0"/>
        <w:rPr>
          <w:color w:val="000000" w:themeColor="text1"/>
          <w:sz w:val="28"/>
          <w:szCs w:val="28"/>
        </w:rPr>
      </w:pPr>
      <w:r>
        <w:rPr>
          <w:color w:val="000000" w:themeColor="text1"/>
        </w:rPr>
        <w:t xml:space="preserve">• </w:t>
      </w:r>
      <w:r w:rsidRPr="007A728E">
        <w:rPr>
          <w:b/>
          <w:color w:val="000000" w:themeColor="text1"/>
          <w:sz w:val="28"/>
          <w:szCs w:val="28"/>
        </w:rPr>
        <w:t>Inventarios y Almacenes</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Estos se conforman por aquellos bienes que se adquieren como materia prima para llevar a cabo elaboraciones, por materiales y suministros que serán utilizados en los procesos administrativos correspondientes, a continuación, se presenta la integración de este rubro:</w:t>
      </w:r>
    </w:p>
    <w:p w:rsidR="00BA586C" w:rsidRDefault="00BA586C" w:rsidP="00BA586C">
      <w:pPr>
        <w:autoSpaceDE w:val="0"/>
        <w:autoSpaceDN w:val="0"/>
        <w:adjustRightInd w:val="0"/>
        <w:rPr>
          <w:color w:val="000000" w:themeColor="text1"/>
        </w:rPr>
      </w:pPr>
    </w:p>
    <w:p w:rsidR="00BA586C" w:rsidRDefault="00BA586C" w:rsidP="00BA586C">
      <w:pPr>
        <w:autoSpaceDE w:val="0"/>
        <w:autoSpaceDN w:val="0"/>
        <w:adjustRightInd w:val="0"/>
        <w:rPr>
          <w:color w:val="000000" w:themeColor="text1"/>
        </w:rPr>
      </w:pPr>
      <w:r w:rsidRPr="00905D97">
        <w:rPr>
          <w:noProof/>
          <w:lang w:val="es-MX" w:eastAsia="es-MX"/>
        </w:rPr>
        <w:lastRenderedPageBreak/>
        <w:drawing>
          <wp:inline distT="0" distB="0" distL="0" distR="0" wp14:anchorId="35665061" wp14:editId="31266E95">
            <wp:extent cx="6296025" cy="81438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400" cy="8144360"/>
                    </a:xfrm>
                    <a:prstGeom prst="rect">
                      <a:avLst/>
                    </a:prstGeom>
                    <a:noFill/>
                    <a:ln>
                      <a:noFill/>
                    </a:ln>
                  </pic:spPr>
                </pic:pic>
              </a:graphicData>
            </a:graphic>
          </wp:inline>
        </w:drawing>
      </w:r>
    </w:p>
    <w:p w:rsidR="00BA586C" w:rsidRDefault="00BA586C" w:rsidP="00BA586C">
      <w:pPr>
        <w:autoSpaceDE w:val="0"/>
        <w:autoSpaceDN w:val="0"/>
        <w:adjustRightInd w:val="0"/>
        <w:rPr>
          <w:color w:val="000000" w:themeColor="text1"/>
        </w:rPr>
      </w:pPr>
      <w:r w:rsidRPr="00905D97">
        <w:rPr>
          <w:noProof/>
          <w:lang w:val="es-MX" w:eastAsia="es-MX"/>
        </w:rPr>
        <w:lastRenderedPageBreak/>
        <w:drawing>
          <wp:inline distT="0" distB="0" distL="0" distR="0" wp14:anchorId="2A6D1FB3" wp14:editId="3765DA23">
            <wp:extent cx="6295988" cy="8077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6575" cy="8090782"/>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r w:rsidRPr="00A04A90">
        <w:rPr>
          <w:noProof/>
          <w:lang w:val="es-MX" w:eastAsia="es-MX"/>
        </w:rPr>
        <w:lastRenderedPageBreak/>
        <w:drawing>
          <wp:inline distT="0" distB="0" distL="0" distR="0" wp14:anchorId="596E4ED3" wp14:editId="77D2D3E2">
            <wp:extent cx="6315075" cy="80581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6929" cy="8086036"/>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r w:rsidRPr="00A04A90">
        <w:rPr>
          <w:noProof/>
          <w:lang w:val="es-MX" w:eastAsia="es-MX"/>
        </w:rPr>
        <w:lastRenderedPageBreak/>
        <w:drawing>
          <wp:inline distT="0" distB="0" distL="0" distR="0" wp14:anchorId="6E178022" wp14:editId="169B7C15">
            <wp:extent cx="6362700" cy="81438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0070" cy="8166108"/>
                    </a:xfrm>
                    <a:prstGeom prst="rect">
                      <a:avLst/>
                    </a:prstGeom>
                    <a:noFill/>
                    <a:ln>
                      <a:noFill/>
                    </a:ln>
                  </pic:spPr>
                </pic:pic>
              </a:graphicData>
            </a:graphic>
          </wp:inline>
        </w:drawing>
      </w:r>
    </w:p>
    <w:p w:rsidR="00BA586C" w:rsidRPr="007A728E" w:rsidRDefault="00BA586C" w:rsidP="00BA586C">
      <w:pPr>
        <w:autoSpaceDE w:val="0"/>
        <w:autoSpaceDN w:val="0"/>
        <w:adjustRightInd w:val="0"/>
        <w:rPr>
          <w:color w:val="000000" w:themeColor="text1"/>
          <w:sz w:val="28"/>
          <w:szCs w:val="28"/>
        </w:rPr>
      </w:pPr>
      <w:r>
        <w:rPr>
          <w:color w:val="000000" w:themeColor="text1"/>
        </w:rPr>
        <w:lastRenderedPageBreak/>
        <w:t xml:space="preserve">• </w:t>
      </w:r>
      <w:r w:rsidRPr="007A728E">
        <w:rPr>
          <w:b/>
          <w:color w:val="000000" w:themeColor="text1"/>
          <w:sz w:val="28"/>
          <w:szCs w:val="28"/>
        </w:rPr>
        <w:t>Inversiones Financieras</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La Entidad Federativa posee activos financieros representados por inversiones en empresas de participación estatal, así como en organismos descentralizados, constituidos mediante aportaciones patrimoniales. También canaliza recursos monetarios para incrementar o crear fideicomisos públicos paraestatales, destinados a apoyar actividades productivas y/o prioritarias. A continuación, se presenta la integración de este rubro:</w:t>
      </w:r>
    </w:p>
    <w:p w:rsidR="00BA586C" w:rsidRDefault="00BA586C" w:rsidP="00BA586C">
      <w:pPr>
        <w:autoSpaceDE w:val="0"/>
        <w:autoSpaceDN w:val="0"/>
        <w:adjustRightInd w:val="0"/>
        <w:rPr>
          <w:noProof/>
          <w:lang w:val="es-MX" w:eastAsia="es-MX"/>
        </w:rPr>
      </w:pPr>
      <w:r w:rsidRPr="000E744C">
        <w:rPr>
          <w:noProof/>
          <w:lang w:val="es-MX" w:eastAsia="es-MX"/>
        </w:rPr>
        <w:lastRenderedPageBreak/>
        <w:drawing>
          <wp:inline distT="0" distB="0" distL="0" distR="0" wp14:anchorId="65F40279" wp14:editId="5D0FDBC9">
            <wp:extent cx="6351270" cy="8048625"/>
            <wp:effectExtent l="0" t="0" r="0" b="9525"/>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656" cy="8057985"/>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r w:rsidRPr="00412BA1">
        <w:rPr>
          <w:noProof/>
          <w:lang w:val="es-MX" w:eastAsia="es-MX"/>
        </w:rPr>
        <w:lastRenderedPageBreak/>
        <w:drawing>
          <wp:inline distT="0" distB="0" distL="0" distR="0" wp14:anchorId="446F8337" wp14:editId="05099C9E">
            <wp:extent cx="6304915" cy="8096250"/>
            <wp:effectExtent l="0" t="0" r="635" b="0"/>
            <wp:docPr id="463" name="Imagen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9119" cy="8153013"/>
                    </a:xfrm>
                    <a:prstGeom prst="rect">
                      <a:avLst/>
                    </a:prstGeom>
                    <a:noFill/>
                    <a:ln>
                      <a:noFill/>
                    </a:ln>
                  </pic:spPr>
                </pic:pic>
              </a:graphicData>
            </a:graphic>
          </wp:inline>
        </w:drawing>
      </w:r>
    </w:p>
    <w:p w:rsidR="00BA586C" w:rsidRPr="007A728E" w:rsidRDefault="00BA586C" w:rsidP="00BA586C">
      <w:pPr>
        <w:autoSpaceDE w:val="0"/>
        <w:autoSpaceDN w:val="0"/>
        <w:adjustRightInd w:val="0"/>
        <w:rPr>
          <w:b/>
          <w:color w:val="000000" w:themeColor="text1"/>
          <w:sz w:val="28"/>
          <w:szCs w:val="28"/>
        </w:rPr>
      </w:pPr>
      <w:r>
        <w:rPr>
          <w:color w:val="000000" w:themeColor="text1"/>
        </w:rPr>
        <w:lastRenderedPageBreak/>
        <w:t xml:space="preserve">• </w:t>
      </w:r>
      <w:r w:rsidRPr="007A728E">
        <w:rPr>
          <w:b/>
          <w:color w:val="000000" w:themeColor="text1"/>
          <w:sz w:val="28"/>
          <w:szCs w:val="28"/>
        </w:rPr>
        <w:t>Bienes Muebles, Inmuebles e Intangibles</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 xml:space="preserve">Se conforma por los bienes tangibles e intangibles necesarios para llevar a cabo las actividades de gobierno y las obras en proceso que se realizan en los diferentes inmuebles. </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Se presenta la integración de los bienes inmuebles al 31 de diciembre de 202</w:t>
      </w:r>
      <w:r>
        <w:rPr>
          <w:color w:val="000000" w:themeColor="text1"/>
          <w:sz w:val="28"/>
          <w:szCs w:val="28"/>
        </w:rPr>
        <w:t>4</w:t>
      </w:r>
      <w:r w:rsidRPr="007A728E">
        <w:rPr>
          <w:color w:val="000000" w:themeColor="text1"/>
          <w:sz w:val="28"/>
          <w:szCs w:val="28"/>
        </w:rPr>
        <w:t>:</w:t>
      </w:r>
    </w:p>
    <w:p w:rsidR="00BA586C" w:rsidRDefault="00BA586C" w:rsidP="00BA586C">
      <w:pPr>
        <w:autoSpaceDE w:val="0"/>
        <w:autoSpaceDN w:val="0"/>
        <w:adjustRightInd w:val="0"/>
        <w:rPr>
          <w:color w:val="000000" w:themeColor="text1"/>
        </w:rPr>
      </w:pPr>
    </w:p>
    <w:p w:rsidR="00BA586C" w:rsidRDefault="00BA586C" w:rsidP="00BA586C">
      <w:pPr>
        <w:autoSpaceDE w:val="0"/>
        <w:autoSpaceDN w:val="0"/>
        <w:adjustRightInd w:val="0"/>
        <w:rPr>
          <w:noProof/>
          <w:lang w:val="es-MX" w:eastAsia="es-MX"/>
        </w:rPr>
      </w:pPr>
      <w:r w:rsidRPr="00717271">
        <w:rPr>
          <w:noProof/>
          <w:lang w:val="es-MX" w:eastAsia="es-MX"/>
        </w:rPr>
        <w:lastRenderedPageBreak/>
        <w:drawing>
          <wp:inline distT="0" distB="0" distL="0" distR="0" wp14:anchorId="5CC9FF63" wp14:editId="4C575653">
            <wp:extent cx="6351050" cy="81438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4902" cy="8174460"/>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r w:rsidRPr="00717271">
        <w:rPr>
          <w:noProof/>
          <w:lang w:val="es-MX" w:eastAsia="es-MX"/>
        </w:rPr>
        <w:lastRenderedPageBreak/>
        <w:drawing>
          <wp:inline distT="0" distB="0" distL="0" distR="0" wp14:anchorId="4D97946E" wp14:editId="4B26177A">
            <wp:extent cx="6362700" cy="81629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5668" cy="8179562"/>
                    </a:xfrm>
                    <a:prstGeom prst="rect">
                      <a:avLst/>
                    </a:prstGeom>
                    <a:noFill/>
                    <a:ln>
                      <a:noFill/>
                    </a:ln>
                  </pic:spPr>
                </pic:pic>
              </a:graphicData>
            </a:graphic>
          </wp:inline>
        </w:drawing>
      </w:r>
    </w:p>
    <w:p w:rsidR="00BA586C" w:rsidRDefault="00BA586C" w:rsidP="00BA586C">
      <w:pPr>
        <w:autoSpaceDE w:val="0"/>
        <w:autoSpaceDN w:val="0"/>
        <w:adjustRightInd w:val="0"/>
        <w:rPr>
          <w:color w:val="000000" w:themeColor="text1"/>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A continuación, se presenta la integración de los bienes muebles al 31 de diciembre de 202</w:t>
      </w:r>
      <w:r>
        <w:rPr>
          <w:color w:val="000000" w:themeColor="text1"/>
          <w:sz w:val="28"/>
          <w:szCs w:val="28"/>
        </w:rPr>
        <w:t>4</w:t>
      </w:r>
      <w:r w:rsidRPr="007A728E">
        <w:rPr>
          <w:color w:val="000000" w:themeColor="text1"/>
          <w:sz w:val="28"/>
          <w:szCs w:val="28"/>
        </w:rPr>
        <w:t>:</w:t>
      </w:r>
    </w:p>
    <w:p w:rsidR="00BA586C" w:rsidRPr="00BA586C" w:rsidRDefault="00BA586C" w:rsidP="00BA586C">
      <w:pPr>
        <w:autoSpaceDE w:val="0"/>
        <w:autoSpaceDN w:val="0"/>
        <w:adjustRightInd w:val="0"/>
        <w:rPr>
          <w:color w:val="000000" w:themeColor="text1"/>
          <w:sz w:val="28"/>
          <w:szCs w:val="28"/>
        </w:rPr>
      </w:pPr>
      <w:r w:rsidRPr="00717271">
        <w:rPr>
          <w:noProof/>
          <w:lang w:val="es-MX" w:eastAsia="es-MX"/>
        </w:rPr>
        <w:lastRenderedPageBreak/>
        <w:drawing>
          <wp:inline distT="0" distB="0" distL="0" distR="0" wp14:anchorId="0F5F8328" wp14:editId="5E375538">
            <wp:extent cx="6351270" cy="8001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60678" cy="8012852"/>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r w:rsidRPr="00717271">
        <w:rPr>
          <w:noProof/>
          <w:lang w:val="es-MX" w:eastAsia="es-MX"/>
        </w:rPr>
        <w:lastRenderedPageBreak/>
        <w:drawing>
          <wp:inline distT="0" distB="0" distL="0" distR="0" wp14:anchorId="0BCD2E52" wp14:editId="5976C59F">
            <wp:extent cx="6380480" cy="8162925"/>
            <wp:effectExtent l="0" t="0" r="127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3886" cy="8205663"/>
                    </a:xfrm>
                    <a:prstGeom prst="rect">
                      <a:avLst/>
                    </a:prstGeom>
                    <a:noFill/>
                    <a:ln>
                      <a:noFill/>
                    </a:ln>
                  </pic:spPr>
                </pic:pic>
              </a:graphicData>
            </a:graphic>
          </wp:inline>
        </w:drawing>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lastRenderedPageBreak/>
        <w:t>Se presenta la integración de Intang</w:t>
      </w:r>
      <w:r>
        <w:rPr>
          <w:color w:val="000000" w:themeColor="text1"/>
          <w:sz w:val="28"/>
          <w:szCs w:val="28"/>
        </w:rPr>
        <w:t>ibles al 31 de diciembre de 2024</w:t>
      </w:r>
      <w:r w:rsidRPr="007A728E">
        <w:rPr>
          <w:color w:val="000000" w:themeColor="text1"/>
          <w:sz w:val="28"/>
          <w:szCs w:val="28"/>
        </w:rPr>
        <w:t>:</w:t>
      </w:r>
    </w:p>
    <w:p w:rsidR="00BA586C" w:rsidRDefault="00BA586C" w:rsidP="00BA586C">
      <w:pPr>
        <w:autoSpaceDE w:val="0"/>
        <w:autoSpaceDN w:val="0"/>
        <w:adjustRightInd w:val="0"/>
        <w:rPr>
          <w:color w:val="000000" w:themeColor="text1"/>
        </w:rPr>
      </w:pPr>
      <w:r w:rsidRPr="00D30981">
        <w:rPr>
          <w:noProof/>
          <w:lang w:val="es-MX" w:eastAsia="es-MX"/>
        </w:rPr>
        <w:lastRenderedPageBreak/>
        <w:drawing>
          <wp:inline distT="0" distB="0" distL="0" distR="0" wp14:anchorId="3C8849B1" wp14:editId="537FD87A">
            <wp:extent cx="6333906" cy="816292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3871" cy="8214430"/>
                    </a:xfrm>
                    <a:prstGeom prst="rect">
                      <a:avLst/>
                    </a:prstGeom>
                    <a:noFill/>
                    <a:ln>
                      <a:noFill/>
                    </a:ln>
                  </pic:spPr>
                </pic:pic>
              </a:graphicData>
            </a:graphic>
          </wp:inline>
        </w:drawing>
      </w:r>
    </w:p>
    <w:p w:rsidR="00BA586C" w:rsidRDefault="00BA586C" w:rsidP="00BA586C">
      <w:pPr>
        <w:autoSpaceDE w:val="0"/>
        <w:autoSpaceDN w:val="0"/>
        <w:adjustRightInd w:val="0"/>
        <w:jc w:val="center"/>
        <w:rPr>
          <w:color w:val="000000" w:themeColor="text1"/>
        </w:rPr>
      </w:pPr>
      <w:r w:rsidRPr="00D30981">
        <w:rPr>
          <w:noProof/>
          <w:lang w:val="es-MX" w:eastAsia="es-MX"/>
        </w:rPr>
        <w:lastRenderedPageBreak/>
        <w:drawing>
          <wp:inline distT="0" distB="0" distL="0" distR="0" wp14:anchorId="6AA09D9B" wp14:editId="2ECB229E">
            <wp:extent cx="6315022" cy="80200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0539" cy="8052457"/>
                    </a:xfrm>
                    <a:prstGeom prst="rect">
                      <a:avLst/>
                    </a:prstGeom>
                    <a:noFill/>
                    <a:ln>
                      <a:noFill/>
                    </a:ln>
                  </pic:spPr>
                </pic:pic>
              </a:graphicData>
            </a:graphic>
          </wp:inline>
        </w:drawing>
      </w:r>
    </w:p>
    <w:p w:rsidR="00BA586C" w:rsidRDefault="00BA586C" w:rsidP="00BA586C">
      <w:pPr>
        <w:autoSpaceDE w:val="0"/>
        <w:autoSpaceDN w:val="0"/>
        <w:adjustRightInd w:val="0"/>
        <w:rPr>
          <w:b/>
          <w:bCs/>
          <w:color w:val="000000" w:themeColor="text1"/>
          <w:sz w:val="28"/>
          <w:szCs w:val="28"/>
        </w:rPr>
      </w:pPr>
    </w:p>
    <w:p w:rsidR="00BA586C" w:rsidRPr="007A728E" w:rsidRDefault="00BA586C" w:rsidP="00BA586C">
      <w:pPr>
        <w:autoSpaceDE w:val="0"/>
        <w:autoSpaceDN w:val="0"/>
        <w:adjustRightInd w:val="0"/>
        <w:rPr>
          <w:b/>
          <w:color w:val="000000" w:themeColor="text1"/>
          <w:sz w:val="28"/>
          <w:szCs w:val="28"/>
        </w:rPr>
      </w:pPr>
      <w:r w:rsidRPr="007A728E">
        <w:rPr>
          <w:b/>
          <w:bCs/>
          <w:color w:val="000000" w:themeColor="text1"/>
          <w:sz w:val="28"/>
          <w:szCs w:val="28"/>
        </w:rPr>
        <w:t>PASIVO</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Este género se compone de dos grupos, el Pasivo Circulante y el Pasivo No Circulante, en éstos inciden pasivos derivados de operaciones por servicios personales, cuentas por pagar por operaciones presupuestarias y contabilizadas al 31 de diciembre del ejercicio correspondiente; pasivos por obligaciones laborales, acreedores diversos, pasivos por títulos y valores colocados a corto y largo plazo. A continuación, se presenta la integración de este rubro:</w:t>
      </w:r>
    </w:p>
    <w:p w:rsidR="00BA586C" w:rsidRDefault="00BA586C" w:rsidP="00BA586C">
      <w:pPr>
        <w:autoSpaceDE w:val="0"/>
        <w:autoSpaceDN w:val="0"/>
        <w:adjustRightInd w:val="0"/>
        <w:rPr>
          <w:color w:val="000000" w:themeColor="text1"/>
        </w:rPr>
      </w:pPr>
    </w:p>
    <w:p w:rsidR="00BA586C" w:rsidRDefault="00BA586C" w:rsidP="00BA586C">
      <w:pPr>
        <w:autoSpaceDE w:val="0"/>
        <w:autoSpaceDN w:val="0"/>
        <w:adjustRightInd w:val="0"/>
        <w:rPr>
          <w:noProof/>
          <w:lang w:val="es-MX" w:eastAsia="es-MX"/>
        </w:rPr>
      </w:pPr>
      <w:r w:rsidRPr="004844B4">
        <w:rPr>
          <w:noProof/>
          <w:lang w:val="es-MX" w:eastAsia="es-MX"/>
        </w:rPr>
        <w:lastRenderedPageBreak/>
        <w:drawing>
          <wp:inline distT="0" distB="0" distL="0" distR="0" wp14:anchorId="41FBE309" wp14:editId="7741AFBA">
            <wp:extent cx="6324163" cy="8039100"/>
            <wp:effectExtent l="0" t="0" r="635" b="0"/>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8622" cy="8082903"/>
                    </a:xfrm>
                    <a:prstGeom prst="rect">
                      <a:avLst/>
                    </a:prstGeom>
                    <a:noFill/>
                    <a:ln>
                      <a:noFill/>
                    </a:ln>
                  </pic:spPr>
                </pic:pic>
              </a:graphicData>
            </a:graphic>
          </wp:inline>
        </w:drawing>
      </w:r>
    </w:p>
    <w:p w:rsidR="00BA586C" w:rsidRDefault="00BA586C" w:rsidP="00BA586C">
      <w:pPr>
        <w:autoSpaceDE w:val="0"/>
        <w:autoSpaceDN w:val="0"/>
        <w:adjustRightInd w:val="0"/>
        <w:rPr>
          <w:noProof/>
          <w:lang w:val="es-MX" w:eastAsia="es-MX"/>
        </w:rPr>
      </w:pPr>
      <w:r w:rsidRPr="004844B4">
        <w:rPr>
          <w:noProof/>
          <w:lang w:val="es-MX" w:eastAsia="es-MX"/>
        </w:rPr>
        <w:lastRenderedPageBreak/>
        <w:drawing>
          <wp:inline distT="0" distB="0" distL="0" distR="0" wp14:anchorId="2DFF5C25" wp14:editId="387ECEBC">
            <wp:extent cx="6333686" cy="8172450"/>
            <wp:effectExtent l="0" t="0" r="0" b="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5576" cy="8213598"/>
                    </a:xfrm>
                    <a:prstGeom prst="rect">
                      <a:avLst/>
                    </a:prstGeom>
                    <a:noFill/>
                    <a:ln>
                      <a:noFill/>
                    </a:ln>
                  </pic:spPr>
                </pic:pic>
              </a:graphicData>
            </a:graphic>
          </wp:inline>
        </w:drawing>
      </w:r>
    </w:p>
    <w:p w:rsidR="00BA586C" w:rsidRPr="007A728E" w:rsidRDefault="00BA586C" w:rsidP="00BA586C">
      <w:pPr>
        <w:autoSpaceDE w:val="0"/>
        <w:autoSpaceDN w:val="0"/>
        <w:adjustRightInd w:val="0"/>
        <w:rPr>
          <w:b/>
          <w:bCs/>
          <w:color w:val="000000" w:themeColor="text1"/>
          <w:sz w:val="28"/>
          <w:szCs w:val="28"/>
        </w:rPr>
      </w:pPr>
      <w:r w:rsidRPr="007A728E">
        <w:rPr>
          <w:b/>
          <w:bCs/>
          <w:color w:val="000000" w:themeColor="text1"/>
          <w:sz w:val="28"/>
          <w:szCs w:val="28"/>
        </w:rPr>
        <w:lastRenderedPageBreak/>
        <w:t>NOTAS AL ESTADO DE ACTIVIDADES</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así mismo permite determinar el resultado, el cual, para este ejercicio, ascendió a:</w:t>
      </w:r>
    </w:p>
    <w:p w:rsidR="00BA586C" w:rsidRDefault="00BA586C" w:rsidP="00BA586C">
      <w:pPr>
        <w:autoSpaceDE w:val="0"/>
        <w:autoSpaceDN w:val="0"/>
        <w:adjustRightInd w:val="0"/>
        <w:jc w:val="center"/>
        <w:rPr>
          <w:color w:val="000000" w:themeColor="text1"/>
        </w:rPr>
      </w:pPr>
    </w:p>
    <w:p w:rsidR="00BA586C" w:rsidRDefault="00BA586C" w:rsidP="00BA586C">
      <w:pPr>
        <w:autoSpaceDE w:val="0"/>
        <w:autoSpaceDN w:val="0"/>
        <w:adjustRightInd w:val="0"/>
        <w:rPr>
          <w:noProof/>
          <w:lang w:val="es-MX" w:eastAsia="es-MX"/>
        </w:rPr>
      </w:pPr>
      <w:r w:rsidRPr="000E744C">
        <w:rPr>
          <w:noProof/>
          <w:lang w:val="es-MX" w:eastAsia="es-MX"/>
        </w:rPr>
        <w:lastRenderedPageBreak/>
        <w:drawing>
          <wp:inline distT="0" distB="0" distL="0" distR="0" wp14:anchorId="73CDCD39" wp14:editId="3946F620">
            <wp:extent cx="6333960" cy="8134350"/>
            <wp:effectExtent l="0" t="0" r="0" b="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64347" cy="8173375"/>
                    </a:xfrm>
                    <a:prstGeom prst="rect">
                      <a:avLst/>
                    </a:prstGeom>
                    <a:noFill/>
                    <a:ln>
                      <a:noFill/>
                    </a:ln>
                  </pic:spPr>
                </pic:pic>
              </a:graphicData>
            </a:graphic>
          </wp:inline>
        </w:drawing>
      </w:r>
    </w:p>
    <w:p w:rsidR="00BA586C" w:rsidRPr="0061670E" w:rsidRDefault="00BA586C" w:rsidP="00BA586C">
      <w:pPr>
        <w:autoSpaceDE w:val="0"/>
        <w:autoSpaceDN w:val="0"/>
        <w:adjustRightInd w:val="0"/>
        <w:jc w:val="center"/>
        <w:rPr>
          <w:noProof/>
          <w:lang w:val="es-MX" w:eastAsia="es-MX"/>
        </w:rPr>
      </w:pPr>
      <w:r w:rsidRPr="000E744C">
        <w:rPr>
          <w:noProof/>
          <w:lang w:val="es-MX" w:eastAsia="es-MX"/>
        </w:rPr>
        <w:lastRenderedPageBreak/>
        <w:drawing>
          <wp:inline distT="0" distB="0" distL="0" distR="0" wp14:anchorId="725CEB2F" wp14:editId="71B767CD">
            <wp:extent cx="6419850" cy="8124825"/>
            <wp:effectExtent l="0" t="0" r="0" b="9525"/>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97099" cy="8222590"/>
                    </a:xfrm>
                    <a:prstGeom prst="rect">
                      <a:avLst/>
                    </a:prstGeom>
                    <a:noFill/>
                    <a:ln>
                      <a:noFill/>
                    </a:ln>
                  </pic:spPr>
                </pic:pic>
              </a:graphicData>
            </a:graphic>
          </wp:inline>
        </w:drawing>
      </w:r>
    </w:p>
    <w:p w:rsidR="00BA586C" w:rsidRPr="007A728E" w:rsidRDefault="00BA586C" w:rsidP="00BA586C">
      <w:pPr>
        <w:autoSpaceDE w:val="0"/>
        <w:autoSpaceDN w:val="0"/>
        <w:adjustRightInd w:val="0"/>
        <w:ind w:left="708"/>
        <w:jc w:val="left"/>
        <w:rPr>
          <w:b/>
          <w:bCs/>
          <w:color w:val="000000" w:themeColor="text1"/>
          <w:sz w:val="28"/>
          <w:szCs w:val="28"/>
        </w:rPr>
      </w:pPr>
      <w:r w:rsidRPr="007A728E">
        <w:rPr>
          <w:b/>
          <w:bCs/>
          <w:color w:val="000000" w:themeColor="text1"/>
          <w:sz w:val="28"/>
          <w:szCs w:val="28"/>
        </w:rPr>
        <w:lastRenderedPageBreak/>
        <w:t xml:space="preserve">NOTAS AL ESTADO DE VARIACIÓN DE LA HACIENDA </w:t>
      </w:r>
      <w:r>
        <w:rPr>
          <w:b/>
          <w:bCs/>
          <w:color w:val="000000" w:themeColor="text1"/>
          <w:sz w:val="28"/>
          <w:szCs w:val="28"/>
        </w:rPr>
        <w:t>P</w:t>
      </w:r>
      <w:r w:rsidRPr="007A728E">
        <w:rPr>
          <w:b/>
          <w:bCs/>
          <w:color w:val="000000" w:themeColor="text1"/>
          <w:sz w:val="28"/>
          <w:szCs w:val="28"/>
        </w:rPr>
        <w:t>ÚBLICA/PATRIMONIO</w:t>
      </w:r>
    </w:p>
    <w:p w:rsidR="00BA586C" w:rsidRPr="007A728E" w:rsidRDefault="00BA586C" w:rsidP="00BA586C">
      <w:pPr>
        <w:autoSpaceDE w:val="0"/>
        <w:autoSpaceDN w:val="0"/>
        <w:adjustRightInd w:val="0"/>
        <w:rPr>
          <w:color w:val="000000" w:themeColor="text1"/>
          <w:sz w:val="28"/>
          <w:szCs w:val="28"/>
        </w:rPr>
      </w:pPr>
    </w:p>
    <w:p w:rsidR="00BA586C" w:rsidRDefault="00BA586C" w:rsidP="00BA586C">
      <w:pPr>
        <w:autoSpaceDE w:val="0"/>
        <w:autoSpaceDN w:val="0"/>
        <w:adjustRightInd w:val="0"/>
        <w:rPr>
          <w:color w:val="000000" w:themeColor="text1"/>
          <w:sz w:val="28"/>
          <w:szCs w:val="28"/>
        </w:rPr>
      </w:pPr>
      <w:r w:rsidRPr="007A728E">
        <w:rPr>
          <w:color w:val="000000" w:themeColor="text1"/>
          <w:sz w:val="28"/>
          <w:szCs w:val="28"/>
        </w:rPr>
        <w:t>Este Estado muestra el monto de la Hacienda Pública/Patrimonio Neto al 31 de diciembre de 2023 y 2022, se conforma como sigue:</w:t>
      </w:r>
    </w:p>
    <w:p w:rsidR="00BA586C" w:rsidRDefault="00BA586C" w:rsidP="00BA586C">
      <w:pPr>
        <w:autoSpaceDE w:val="0"/>
        <w:autoSpaceDN w:val="0"/>
        <w:adjustRightInd w:val="0"/>
        <w:rPr>
          <w:color w:val="000000" w:themeColor="text1"/>
          <w:sz w:val="28"/>
          <w:szCs w:val="28"/>
        </w:rPr>
      </w:pPr>
      <w:r w:rsidRPr="00F51D8F">
        <w:rPr>
          <w:noProof/>
          <w:lang w:val="es-MX" w:eastAsia="es-MX"/>
        </w:rPr>
        <w:lastRenderedPageBreak/>
        <w:drawing>
          <wp:inline distT="0" distB="0" distL="0" distR="0" wp14:anchorId="24161BE2" wp14:editId="7F38830A">
            <wp:extent cx="6350635" cy="8153400"/>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75207" cy="8184947"/>
                    </a:xfrm>
                    <a:prstGeom prst="rect">
                      <a:avLst/>
                    </a:prstGeom>
                    <a:noFill/>
                    <a:ln>
                      <a:noFill/>
                    </a:ln>
                  </pic:spPr>
                </pic:pic>
              </a:graphicData>
            </a:graphic>
          </wp:inline>
        </w:drawing>
      </w:r>
    </w:p>
    <w:p w:rsidR="00BA586C" w:rsidRPr="007A728E" w:rsidRDefault="00BA586C" w:rsidP="00BA586C">
      <w:pPr>
        <w:autoSpaceDE w:val="0"/>
        <w:autoSpaceDN w:val="0"/>
        <w:adjustRightInd w:val="0"/>
        <w:rPr>
          <w:color w:val="000000" w:themeColor="text1"/>
          <w:sz w:val="28"/>
          <w:szCs w:val="28"/>
        </w:rPr>
      </w:pPr>
      <w:bookmarkStart w:id="0" w:name="_GoBack"/>
      <w:r w:rsidRPr="00F51D8F">
        <w:rPr>
          <w:noProof/>
          <w:lang w:val="es-MX" w:eastAsia="es-MX"/>
        </w:rPr>
        <w:lastRenderedPageBreak/>
        <w:drawing>
          <wp:inline distT="0" distB="0" distL="0" distR="0" wp14:anchorId="360823F3" wp14:editId="7157EAEE">
            <wp:extent cx="6305361" cy="8039100"/>
            <wp:effectExtent l="0" t="0" r="635" b="0"/>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3696" cy="8075226"/>
                    </a:xfrm>
                    <a:prstGeom prst="rect">
                      <a:avLst/>
                    </a:prstGeom>
                    <a:noFill/>
                    <a:ln>
                      <a:noFill/>
                    </a:ln>
                  </pic:spPr>
                </pic:pic>
              </a:graphicData>
            </a:graphic>
          </wp:inline>
        </w:drawing>
      </w:r>
      <w:bookmarkEnd w:id="0"/>
    </w:p>
    <w:p w:rsidR="00BA586C" w:rsidRDefault="00BA586C" w:rsidP="00BA586C">
      <w:pPr>
        <w:autoSpaceDE w:val="0"/>
        <w:autoSpaceDN w:val="0"/>
        <w:adjustRightInd w:val="0"/>
        <w:rPr>
          <w:color w:val="000000" w:themeColor="text1"/>
        </w:rPr>
      </w:pPr>
    </w:p>
    <w:p w:rsidR="00BA586C" w:rsidRDefault="00BA586C" w:rsidP="00BA586C">
      <w:pPr>
        <w:autoSpaceDE w:val="0"/>
        <w:autoSpaceDN w:val="0"/>
        <w:adjustRightInd w:val="0"/>
        <w:rPr>
          <w:b/>
          <w:bCs/>
          <w:color w:val="000000" w:themeColor="text1"/>
          <w:sz w:val="28"/>
          <w:szCs w:val="28"/>
        </w:rPr>
      </w:pPr>
    </w:p>
    <w:p w:rsidR="00BA586C" w:rsidRPr="007A728E" w:rsidRDefault="00BA586C" w:rsidP="00BA586C">
      <w:pPr>
        <w:autoSpaceDE w:val="0"/>
        <w:autoSpaceDN w:val="0"/>
        <w:adjustRightInd w:val="0"/>
        <w:rPr>
          <w:b/>
          <w:bCs/>
          <w:color w:val="000000" w:themeColor="text1"/>
          <w:sz w:val="28"/>
          <w:szCs w:val="28"/>
        </w:rPr>
      </w:pPr>
      <w:r w:rsidRPr="007A728E">
        <w:rPr>
          <w:b/>
          <w:bCs/>
          <w:color w:val="000000" w:themeColor="text1"/>
          <w:sz w:val="28"/>
          <w:szCs w:val="28"/>
        </w:rPr>
        <w:t>NOTAS AL ESTADO DE FLUJO DE EFECTIVO</w:t>
      </w: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Flujo de Efectivo de las Actividades de Gestión, Inversión y Financiamiento de las entidades paraestatales, por el periodo comprendido del 1 de enero al 31 de diciembre de 2023 refleja lo siguiente:</w:t>
      </w:r>
    </w:p>
    <w:p w:rsidR="00BA586C" w:rsidRDefault="00BA586C" w:rsidP="00BA586C">
      <w:pPr>
        <w:autoSpaceDE w:val="0"/>
        <w:autoSpaceDN w:val="0"/>
        <w:adjustRightInd w:val="0"/>
        <w:rPr>
          <w:color w:val="000000" w:themeColor="text1"/>
        </w:rPr>
      </w:pPr>
      <w:r w:rsidRPr="00F51D8F">
        <w:rPr>
          <w:noProof/>
          <w:lang w:val="es-MX" w:eastAsia="es-MX"/>
        </w:rPr>
        <w:drawing>
          <wp:inline distT="0" distB="0" distL="0" distR="0" wp14:anchorId="54DC9B81" wp14:editId="2E468532">
            <wp:extent cx="6115050" cy="2219325"/>
            <wp:effectExtent l="0" t="0" r="0" b="9525"/>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2219325"/>
                    </a:xfrm>
                    <a:prstGeom prst="rect">
                      <a:avLst/>
                    </a:prstGeom>
                    <a:noFill/>
                    <a:ln>
                      <a:noFill/>
                    </a:ln>
                  </pic:spPr>
                </pic:pic>
              </a:graphicData>
            </a:graphic>
          </wp:inline>
        </w:drawing>
      </w:r>
    </w:p>
    <w:p w:rsidR="00BA586C" w:rsidRDefault="00BA586C" w:rsidP="00BA586C">
      <w:pPr>
        <w:autoSpaceDE w:val="0"/>
        <w:autoSpaceDN w:val="0"/>
        <w:adjustRightInd w:val="0"/>
        <w:rPr>
          <w:color w:val="000000" w:themeColor="text1"/>
        </w:rPr>
      </w:pPr>
    </w:p>
    <w:p w:rsidR="00BA586C" w:rsidRDefault="00BA586C" w:rsidP="00BA586C">
      <w:pPr>
        <w:autoSpaceDE w:val="0"/>
        <w:autoSpaceDN w:val="0"/>
        <w:adjustRightInd w:val="0"/>
        <w:rPr>
          <w:color w:val="000000" w:themeColor="text1"/>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jc w:val="center"/>
        <w:rPr>
          <w:b/>
          <w:bCs/>
          <w:color w:val="000000" w:themeColor="text1"/>
          <w:sz w:val="32"/>
          <w:szCs w:val="32"/>
        </w:rPr>
      </w:pPr>
    </w:p>
    <w:p w:rsidR="00BA586C" w:rsidRDefault="00BA586C" w:rsidP="00BA586C">
      <w:pPr>
        <w:autoSpaceDE w:val="0"/>
        <w:autoSpaceDN w:val="0"/>
        <w:adjustRightInd w:val="0"/>
        <w:rPr>
          <w:b/>
          <w:bCs/>
          <w:color w:val="000000" w:themeColor="text1"/>
          <w:sz w:val="32"/>
          <w:szCs w:val="32"/>
        </w:rPr>
      </w:pPr>
    </w:p>
    <w:p w:rsidR="00BA586C" w:rsidRDefault="00BA586C" w:rsidP="00BA586C">
      <w:pPr>
        <w:autoSpaceDE w:val="0"/>
        <w:autoSpaceDN w:val="0"/>
        <w:adjustRightInd w:val="0"/>
        <w:rPr>
          <w:b/>
          <w:bCs/>
          <w:color w:val="000000" w:themeColor="text1"/>
          <w:sz w:val="28"/>
          <w:szCs w:val="28"/>
        </w:rPr>
      </w:pPr>
      <w:r w:rsidRPr="007A728E">
        <w:rPr>
          <w:b/>
          <w:bCs/>
          <w:color w:val="000000" w:themeColor="text1"/>
          <w:sz w:val="28"/>
          <w:szCs w:val="28"/>
        </w:rPr>
        <w:t>N</w:t>
      </w:r>
      <w:r>
        <w:rPr>
          <w:b/>
          <w:bCs/>
          <w:color w:val="000000" w:themeColor="text1"/>
          <w:sz w:val="28"/>
          <w:szCs w:val="28"/>
        </w:rPr>
        <w:t>OTAS DE MEMORIA</w:t>
      </w:r>
    </w:p>
    <w:p w:rsidR="00BA586C" w:rsidRPr="00865DC7" w:rsidRDefault="00BA586C" w:rsidP="00BA586C">
      <w:pPr>
        <w:autoSpaceDE w:val="0"/>
        <w:autoSpaceDN w:val="0"/>
        <w:adjustRightInd w:val="0"/>
        <w:rPr>
          <w:b/>
          <w:bCs/>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Las notas de memoria de la Entidad Federativa son producto de las notas de cada ente público que lo conforma, mismas que pueden ser consultadas en el respectivo apartado de cada uno de ellos.</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b/>
          <w:bCs/>
          <w:color w:val="000000" w:themeColor="text1"/>
          <w:sz w:val="28"/>
          <w:szCs w:val="28"/>
        </w:rPr>
      </w:pPr>
      <w:r w:rsidRPr="007A728E">
        <w:rPr>
          <w:b/>
          <w:bCs/>
          <w:color w:val="000000" w:themeColor="text1"/>
          <w:sz w:val="28"/>
          <w:szCs w:val="28"/>
        </w:rPr>
        <w:t>NOTA DE CONSOLIDACIÓN</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Conforme al Acuerdo por el que se armoniza la estructura de las cuentas públicas, emitido por el Consejo Nacional de Armonización Contable, en el Diario Oficial de la Federación el 30 de diciembre de 2013, reformado el 6 de octubre de 2014 y 29 de febrero de 2016, referente a la norma en materia de consolidación de estados financieros de la Entidad Federativa y demás información contable, que tiene por objetivo la presentación de información financiera de varios entes públicos como si fuera un sector institucional, el método consiste en la eliminación de las transacciones y/o saldos entre los entes públicos que se consolidan. Conforme a la norma NOR_01_04_007 del día 24 de septiembre de 2014 para efectos de consolidación.</w:t>
      </w:r>
    </w:p>
    <w:p w:rsidR="00BA586C" w:rsidRPr="007A728E" w:rsidRDefault="00BA586C" w:rsidP="00BA586C">
      <w:pPr>
        <w:autoSpaceDE w:val="0"/>
        <w:autoSpaceDN w:val="0"/>
        <w:adjustRightInd w:val="0"/>
        <w:rPr>
          <w:color w:val="000000" w:themeColor="text1"/>
          <w:sz w:val="28"/>
          <w:szCs w:val="28"/>
        </w:rPr>
      </w:pPr>
    </w:p>
    <w:p w:rsidR="00BA586C" w:rsidRPr="007A728E" w:rsidRDefault="00BA586C" w:rsidP="00BA586C">
      <w:pPr>
        <w:autoSpaceDE w:val="0"/>
        <w:autoSpaceDN w:val="0"/>
        <w:adjustRightInd w:val="0"/>
        <w:rPr>
          <w:color w:val="000000" w:themeColor="text1"/>
          <w:sz w:val="28"/>
          <w:szCs w:val="28"/>
        </w:rPr>
      </w:pPr>
      <w:r w:rsidRPr="007A728E">
        <w:rPr>
          <w:color w:val="000000" w:themeColor="text1"/>
          <w:sz w:val="28"/>
          <w:szCs w:val="28"/>
        </w:rPr>
        <w:t xml:space="preserve">Es importante mencionar que en el afán de respetar el principio respecto de que “Los estados financieros son </w:t>
      </w:r>
      <w:r w:rsidRPr="007A728E">
        <w:rPr>
          <w:color w:val="000000" w:themeColor="text1"/>
          <w:sz w:val="28"/>
          <w:szCs w:val="28"/>
        </w:rPr>
        <w:lastRenderedPageBreak/>
        <w:t>responsabilidad del emisor”, se atendió a integrar los saldos de los Estados Financieros que fueron presentados por los entes, siempre y cuando cumplieran con lo establecido en la normativa del CONAC, agregando saldos del ejercicio 202</w:t>
      </w:r>
      <w:r>
        <w:rPr>
          <w:color w:val="000000" w:themeColor="text1"/>
          <w:sz w:val="28"/>
          <w:szCs w:val="28"/>
        </w:rPr>
        <w:t>3</w:t>
      </w:r>
      <w:r w:rsidRPr="007A728E">
        <w:rPr>
          <w:color w:val="000000" w:themeColor="text1"/>
          <w:sz w:val="28"/>
          <w:szCs w:val="28"/>
        </w:rPr>
        <w:t>, como comparativo, a aquellos que por diferentes situaciones no los hubieran presentado en ejercicios anteriores y eliminando de los saldos comparativos de quienes presentaron sus cifras en tiempo y forma en ejercicios pasados, pero que por las razones expuestas en el preámbulo no fueron integradas en la presente Cuenta Pública.</w:t>
      </w:r>
    </w:p>
    <w:p w:rsidR="00BA586C" w:rsidRPr="007A728E" w:rsidRDefault="00BA586C" w:rsidP="00BA586C">
      <w:pPr>
        <w:rPr>
          <w:color w:val="000000" w:themeColor="text1"/>
          <w:sz w:val="28"/>
          <w:szCs w:val="28"/>
        </w:rPr>
      </w:pPr>
    </w:p>
    <w:p w:rsidR="00BA586C" w:rsidRPr="007A728E" w:rsidRDefault="00BA586C" w:rsidP="00BA586C">
      <w:pPr>
        <w:rPr>
          <w:color w:val="000000" w:themeColor="text1"/>
          <w:sz w:val="28"/>
          <w:szCs w:val="28"/>
        </w:rPr>
      </w:pPr>
      <w:r w:rsidRPr="007A728E">
        <w:rPr>
          <w:color w:val="000000" w:themeColor="text1"/>
          <w:sz w:val="28"/>
          <w:szCs w:val="28"/>
        </w:rPr>
        <w:t xml:space="preserve">Se entrega al presente en medio electrónico los archivo en formato PDF y Excel de la información contable, programática, presupuestal y complementaria de cada uno de los Poderes: Ejecutivo, Legislativo y Judicial, así como de cada uno de los Organismos Autónomos, al 31 de diciembre de 2023, así mismo se puede consultar la información en el portal de internet de la Secretaría de Finanzas y Administración en la siguiente liga: </w:t>
      </w:r>
    </w:p>
    <w:p w:rsidR="00BA586C" w:rsidRPr="007A728E" w:rsidRDefault="00BA586C" w:rsidP="00BA586C">
      <w:pPr>
        <w:rPr>
          <w:color w:val="000000" w:themeColor="text1"/>
          <w:sz w:val="28"/>
          <w:szCs w:val="28"/>
        </w:rPr>
      </w:pPr>
    </w:p>
    <w:p w:rsidR="00BA586C" w:rsidRPr="007A728E" w:rsidRDefault="00BA586C" w:rsidP="00BA586C">
      <w:pPr>
        <w:rPr>
          <w:b/>
          <w:bCs/>
          <w:color w:val="000000" w:themeColor="text1"/>
          <w:sz w:val="28"/>
          <w:szCs w:val="28"/>
        </w:rPr>
      </w:pPr>
      <w:r w:rsidRPr="007A728E">
        <w:rPr>
          <w:b/>
          <w:bCs/>
          <w:color w:val="000000" w:themeColor="text1"/>
          <w:sz w:val="28"/>
          <w:szCs w:val="28"/>
        </w:rPr>
        <w:t>Informe Anual de la cuenta pública</w:t>
      </w:r>
    </w:p>
    <w:p w:rsidR="00BA586C" w:rsidRPr="003D520C" w:rsidRDefault="00BA586C" w:rsidP="00BA586C">
      <w:pPr>
        <w:rPr>
          <w:color w:val="000000" w:themeColor="text1"/>
        </w:rPr>
      </w:pPr>
      <w:hyperlink r:id="rId30" w:history="1">
        <w:r w:rsidRPr="007A728E">
          <w:rPr>
            <w:rStyle w:val="Hipervnculo"/>
            <w:sz w:val="28"/>
            <w:szCs w:val="28"/>
          </w:rPr>
          <w:t>http://sfa.michoacan.gob.mx/cuentaPublica/index.php</w:t>
        </w:r>
      </w:hyperlink>
    </w:p>
    <w:p w:rsidR="006C07D4" w:rsidRDefault="006C07D4" w:rsidP="006C07D4"/>
    <w:p w:rsidR="00231ECA" w:rsidRDefault="00231ECA"/>
    <w:sectPr w:rsidR="00231ECA" w:rsidSect="00BA586C">
      <w:headerReference w:type="even" r:id="rId31"/>
      <w:headerReference w:type="default" r:id="rId32"/>
      <w:footerReference w:type="default" r:id="rId33"/>
      <w:headerReference w:type="first" r:id="rId34"/>
      <w:pgSz w:w="12242" w:h="15842" w:code="1"/>
      <w:pgMar w:top="1304" w:right="1247" w:bottom="567" w:left="992" w:header="170" w:footer="79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4B" w:rsidRDefault="00881C4B">
      <w:pPr>
        <w:spacing w:before="0" w:after="0" w:line="240" w:lineRule="auto"/>
      </w:pPr>
      <w:r>
        <w:separator/>
      </w:r>
    </w:p>
  </w:endnote>
  <w:endnote w:type="continuationSeparator" w:id="0">
    <w:p w:rsidR="00881C4B" w:rsidRDefault="00881C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45704"/>
      <w:docPartObj>
        <w:docPartGallery w:val="Page Numbers (Bottom of Page)"/>
        <w:docPartUnique/>
      </w:docPartObj>
    </w:sdtPr>
    <w:sdtEndPr/>
    <w:sdtContent>
      <w:p w:rsidR="00D02B43" w:rsidRDefault="006C07D4">
        <w:pPr>
          <w:pStyle w:val="Piedepgina"/>
          <w:jc w:val="center"/>
        </w:pPr>
        <w:r>
          <w:fldChar w:fldCharType="begin"/>
        </w:r>
        <w:r>
          <w:instrText>PAGE   \* MERGEFORMAT</w:instrText>
        </w:r>
        <w:r>
          <w:fldChar w:fldCharType="separate"/>
        </w:r>
        <w:r w:rsidR="00BA586C">
          <w:rPr>
            <w:noProof/>
          </w:rPr>
          <w:t>36</w:t>
        </w:r>
        <w:r>
          <w:fldChar w:fldCharType="end"/>
        </w:r>
      </w:p>
      <w:p w:rsidR="00D02B43" w:rsidRDefault="006C07D4">
        <w:pPr>
          <w:pStyle w:val="Piedepgina"/>
          <w:jc w:val="center"/>
        </w:pPr>
        <w:r>
          <w:rPr>
            <w:noProof/>
            <w:lang w:val="es-MX" w:eastAsia="es-MX"/>
          </w:rPr>
          <w:drawing>
            <wp:anchor distT="0" distB="0" distL="114300" distR="114300" simplePos="0" relativeHeight="251662336" behindDoc="1" locked="0" layoutInCell="1" allowOverlap="1" wp14:anchorId="39FEA079" wp14:editId="785F1CFE">
              <wp:simplePos x="0" y="0"/>
              <wp:positionH relativeFrom="page">
                <wp:align>left</wp:align>
              </wp:positionH>
              <wp:positionV relativeFrom="paragraph">
                <wp:posOffset>167640</wp:posOffset>
              </wp:positionV>
              <wp:extent cx="7808540" cy="40830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sdtContent>
  </w:sdt>
  <w:p w:rsidR="00D02B43" w:rsidRDefault="00881C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4B" w:rsidRDefault="00881C4B">
      <w:pPr>
        <w:spacing w:before="0" w:after="0" w:line="240" w:lineRule="auto"/>
      </w:pPr>
      <w:r>
        <w:separator/>
      </w:r>
    </w:p>
  </w:footnote>
  <w:footnote w:type="continuationSeparator" w:id="0">
    <w:p w:rsidR="00881C4B" w:rsidRDefault="00881C4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43" w:rsidRDefault="00881C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9" o:spid="_x0000_s2050" type="#_x0000_t75" style="position:absolute;left:0;text-align:left;margin-left:0;margin-top:0;width:612.15pt;height:792.2pt;z-index:-251656192;mso-position-horizontal:center;mso-position-horizontal-relative:margin;mso-position-vertical:center;mso-position-vertical-relative:margin" o:allowincell="f">
          <v:imagedata r:id="rId1" o:title="informe_Mesa de trabaj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43" w:rsidRDefault="00BA586C">
    <w:pPr>
      <w:pStyle w:val="Encabezado"/>
    </w:pPr>
    <w:r>
      <w:rPr>
        <w:noProof/>
        <w:lang w:val="es-MX" w:eastAsia="es-MX"/>
      </w:rPr>
      <w:drawing>
        <wp:anchor distT="0" distB="0" distL="114300" distR="114300" simplePos="0" relativeHeight="251666432" behindDoc="0" locked="0" layoutInCell="1" allowOverlap="1" wp14:anchorId="4D5B1DEA" wp14:editId="3B976EFA">
          <wp:simplePos x="0" y="0"/>
          <wp:positionH relativeFrom="margin">
            <wp:align>right</wp:align>
          </wp:positionH>
          <wp:positionV relativeFrom="margin">
            <wp:posOffset>-635000</wp:posOffset>
          </wp:positionV>
          <wp:extent cx="6351270" cy="41033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intillo C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1270" cy="410338"/>
                  </a:xfrm>
                  <a:prstGeom prst="rect">
                    <a:avLst/>
                  </a:prstGeom>
                </pic:spPr>
              </pic:pic>
            </a:graphicData>
          </a:graphic>
          <wp14:sizeRelH relativeFrom="margin">
            <wp14:pctWidth>0</wp14:pctWidth>
          </wp14:sizeRelH>
          <wp14:sizeRelV relativeFrom="margin">
            <wp14:pctHeight>0</wp14:pctHeight>
          </wp14:sizeRelV>
        </wp:anchor>
      </w:drawing>
    </w:r>
    <w:r w:rsidR="00881C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20" o:spid="_x0000_s2051" type="#_x0000_t75" style="position:absolute;left:0;text-align:left;margin-left:-56pt;margin-top:-62.3pt;width:612.15pt;height:792.2pt;z-index:-251655168;mso-position-horizontal-relative:margin;mso-position-vertical-relative:margin" o:allowincell="f">
          <v:imagedata r:id="rId2" o:title="informe_Mesa de trabajo 1 copia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43" w:rsidRDefault="00BA586C">
    <w:pPr>
      <w:pStyle w:val="Encabezado"/>
    </w:pPr>
    <w:r>
      <w:rPr>
        <w:noProof/>
        <w:lang w:val="es-MX" w:eastAsia="es-MX"/>
      </w:rPr>
      <w:drawing>
        <wp:anchor distT="0" distB="0" distL="114300" distR="114300" simplePos="0" relativeHeight="251664384" behindDoc="0" locked="0" layoutInCell="1" allowOverlap="1" wp14:anchorId="1C69DD3D" wp14:editId="24591E9D">
          <wp:simplePos x="0" y="0"/>
          <wp:positionH relativeFrom="margin">
            <wp:posOffset>-1270</wp:posOffset>
          </wp:positionH>
          <wp:positionV relativeFrom="margin">
            <wp:posOffset>-599440</wp:posOffset>
          </wp:positionV>
          <wp:extent cx="6351270" cy="410338"/>
          <wp:effectExtent l="0" t="0" r="0" b="8890"/>
          <wp:wrapNone/>
          <wp:docPr id="1781285740" name="Imagen 178128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intillo C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1270" cy="410338"/>
                  </a:xfrm>
                  <a:prstGeom prst="rect">
                    <a:avLst/>
                  </a:prstGeom>
                </pic:spPr>
              </pic:pic>
            </a:graphicData>
          </a:graphic>
          <wp14:sizeRelH relativeFrom="margin">
            <wp14:pctWidth>0</wp14:pctWidth>
          </wp14:sizeRelH>
          <wp14:sizeRelV relativeFrom="margin">
            <wp14:pctHeight>0</wp14:pctHeight>
          </wp14:sizeRelV>
        </wp:anchor>
      </w:drawing>
    </w:r>
    <w:r w:rsidR="00881C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8" o:spid="_x0000_s2049" type="#_x0000_t75" style="position:absolute;left:0;text-align:left;margin-left:0;margin-top:0;width:612.15pt;height:792.2pt;z-index:-251657216;mso-position-horizontal:center;mso-position-horizontal-relative:margin;mso-position-vertical:center;mso-position-vertical-relative:margin" o:allowincell="f">
          <v:imagedata r:id="rId2" o:title="informe_Mesa de trabajo 1 copia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D4"/>
    <w:rsid w:val="00231ECA"/>
    <w:rsid w:val="006C07D4"/>
    <w:rsid w:val="00881C4B"/>
    <w:rsid w:val="00BA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E9586C-9C93-4B73-A8A8-7D0BC13F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D4"/>
    <w:pPr>
      <w:spacing w:before="60" w:after="60" w:line="360" w:lineRule="auto"/>
      <w:jc w:val="both"/>
    </w:pPr>
    <w:rPr>
      <w:rFonts w:ascii="GalanoGrotesque-Light" w:hAnsi="GalanoGrotesque-Light"/>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07D4"/>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C07D4"/>
    <w:rPr>
      <w:rFonts w:ascii="GalanoGrotesque-Light" w:hAnsi="GalanoGrotesque-Light"/>
      <w:sz w:val="24"/>
      <w:szCs w:val="24"/>
      <w:lang w:val="es-ES"/>
    </w:rPr>
  </w:style>
  <w:style w:type="paragraph" w:styleId="Piedepgina">
    <w:name w:val="footer"/>
    <w:basedOn w:val="Normal"/>
    <w:link w:val="PiedepginaCar"/>
    <w:uiPriority w:val="99"/>
    <w:unhideWhenUsed/>
    <w:rsid w:val="006C07D4"/>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C07D4"/>
    <w:rPr>
      <w:rFonts w:ascii="GalanoGrotesque-Light" w:hAnsi="GalanoGrotesque-Light"/>
      <w:sz w:val="24"/>
      <w:szCs w:val="24"/>
      <w:lang w:val="es-ES"/>
    </w:rPr>
  </w:style>
  <w:style w:type="character" w:styleId="Hipervnculo">
    <w:name w:val="Hyperlink"/>
    <w:basedOn w:val="Fuentedeprrafopredeter"/>
    <w:uiPriority w:val="99"/>
    <w:unhideWhenUsed/>
    <w:rsid w:val="006C0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header" Target="header3.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hyperlink" Target="http://sfa.michoacan.gob.mx/cuentaPublica/index.php"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981</Words>
  <Characters>5397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Suelem Janeth González Rodríguez</dc:creator>
  <cp:keywords/>
  <dc:description/>
  <cp:lastModifiedBy>Cuenta Microsoft</cp:lastModifiedBy>
  <cp:revision>2</cp:revision>
  <dcterms:created xsi:type="dcterms:W3CDTF">2024-05-02T15:01:00Z</dcterms:created>
  <dcterms:modified xsi:type="dcterms:W3CDTF">2025-04-30T08:30:00Z</dcterms:modified>
</cp:coreProperties>
</file>